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F13F2" w14:textId="77777777" w:rsidR="00B12C24" w:rsidRPr="000B19D5" w:rsidRDefault="00B12C24" w:rsidP="00B12C24">
      <w:pPr>
        <w:jc w:val="center"/>
        <w:rPr>
          <w:sz w:val="22"/>
          <w:szCs w:val="22"/>
        </w:rPr>
      </w:pPr>
      <w:r w:rsidRPr="000B19D5">
        <w:rPr>
          <w:sz w:val="22"/>
          <w:szCs w:val="22"/>
        </w:rPr>
        <w:t>Ateliers populaires de philosophie.</w:t>
      </w:r>
    </w:p>
    <w:p w14:paraId="113D1098" w14:textId="77777777" w:rsidR="00B12C24" w:rsidRPr="000B19D5" w:rsidRDefault="00B12C24" w:rsidP="00B12C24">
      <w:pPr>
        <w:jc w:val="center"/>
        <w:rPr>
          <w:sz w:val="22"/>
          <w:szCs w:val="22"/>
        </w:rPr>
      </w:pPr>
    </w:p>
    <w:p w14:paraId="6EB25D59" w14:textId="77777777" w:rsidR="00B12C24" w:rsidRPr="00400944" w:rsidRDefault="00B12C24" w:rsidP="00B12C24">
      <w:pPr>
        <w:jc w:val="center"/>
        <w:rPr>
          <w:i/>
          <w:sz w:val="22"/>
          <w:szCs w:val="22"/>
        </w:rPr>
      </w:pPr>
      <w:r w:rsidRPr="00400944">
        <w:rPr>
          <w:i/>
          <w:sz w:val="22"/>
          <w:szCs w:val="22"/>
        </w:rPr>
        <w:t>Les aventures de l’identité.</w:t>
      </w:r>
    </w:p>
    <w:p w14:paraId="4BB42022" w14:textId="77777777" w:rsidR="00B12C24" w:rsidRDefault="00B12C24" w:rsidP="00B12C24">
      <w:pPr>
        <w:jc w:val="center"/>
        <w:rPr>
          <w:sz w:val="22"/>
          <w:szCs w:val="22"/>
        </w:rPr>
      </w:pPr>
      <w:r w:rsidRPr="000B19D5">
        <w:rPr>
          <w:sz w:val="22"/>
          <w:szCs w:val="22"/>
        </w:rPr>
        <w:t xml:space="preserve">Philippe </w:t>
      </w:r>
      <w:proofErr w:type="spellStart"/>
      <w:r w:rsidRPr="000B19D5">
        <w:rPr>
          <w:sz w:val="22"/>
          <w:szCs w:val="22"/>
        </w:rPr>
        <w:t>Gouët</w:t>
      </w:r>
      <w:proofErr w:type="spellEnd"/>
      <w:r w:rsidRPr="000B19D5">
        <w:rPr>
          <w:sz w:val="22"/>
          <w:szCs w:val="22"/>
        </w:rPr>
        <w:t>.</w:t>
      </w:r>
    </w:p>
    <w:p w14:paraId="58419B7B" w14:textId="77777777" w:rsidR="00B12C24" w:rsidRDefault="00B12C24" w:rsidP="00B12C24">
      <w:pPr>
        <w:jc w:val="center"/>
        <w:rPr>
          <w:sz w:val="22"/>
          <w:szCs w:val="22"/>
        </w:rPr>
      </w:pPr>
      <w:r>
        <w:rPr>
          <w:sz w:val="22"/>
          <w:szCs w:val="22"/>
        </w:rPr>
        <w:t>Document 3</w:t>
      </w:r>
      <w:bookmarkStart w:id="0" w:name="_GoBack"/>
      <w:bookmarkEnd w:id="0"/>
    </w:p>
    <w:p w14:paraId="67F6A36F" w14:textId="77777777" w:rsidR="00B12C24" w:rsidRDefault="00B12C24" w:rsidP="00B12C24">
      <w:pPr>
        <w:jc w:val="center"/>
        <w:rPr>
          <w:sz w:val="22"/>
          <w:szCs w:val="22"/>
        </w:rPr>
      </w:pPr>
    </w:p>
    <w:p w14:paraId="7BE8CCC9" w14:textId="68F86FFB" w:rsidR="00B12C24" w:rsidRDefault="00F65FB3" w:rsidP="00B12C24">
      <w:pPr>
        <w:jc w:val="both"/>
        <w:rPr>
          <w:sz w:val="22"/>
          <w:szCs w:val="22"/>
        </w:rPr>
      </w:pPr>
      <w:r>
        <w:rPr>
          <w:sz w:val="22"/>
          <w:szCs w:val="22"/>
        </w:rPr>
        <w:t>Synthèse du troisième atelier.</w:t>
      </w:r>
    </w:p>
    <w:p w14:paraId="7B2BCBAB" w14:textId="4B6345D0" w:rsidR="00C94B28" w:rsidRDefault="00A22F10" w:rsidP="00B12C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Résumons : </w:t>
      </w:r>
      <w:r w:rsidR="00437C3C">
        <w:rPr>
          <w:sz w:val="22"/>
          <w:szCs w:val="22"/>
        </w:rPr>
        <w:t xml:space="preserve">l’identité humaine est </w:t>
      </w:r>
      <w:r w:rsidR="00437C3C">
        <w:rPr>
          <w:i/>
          <w:sz w:val="22"/>
          <w:szCs w:val="22"/>
        </w:rPr>
        <w:t>événement</w:t>
      </w:r>
      <w:r w:rsidR="00437C3C">
        <w:rPr>
          <w:sz w:val="22"/>
          <w:szCs w:val="22"/>
        </w:rPr>
        <w:t> // désir de vivre et nouvelle « </w:t>
      </w:r>
      <w:r w:rsidR="00437C3C" w:rsidRPr="00437C3C">
        <w:rPr>
          <w:i/>
          <w:sz w:val="22"/>
          <w:szCs w:val="22"/>
        </w:rPr>
        <w:t>allure de la vie </w:t>
      </w:r>
      <w:r w:rsidR="00437C3C">
        <w:rPr>
          <w:sz w:val="22"/>
          <w:szCs w:val="22"/>
        </w:rPr>
        <w:t xml:space="preserve">» dont l’origine est accompagnée de deux qualités, </w:t>
      </w:r>
      <w:r w:rsidR="00437C3C">
        <w:rPr>
          <w:i/>
          <w:sz w:val="22"/>
          <w:szCs w:val="22"/>
        </w:rPr>
        <w:t xml:space="preserve">la sollicitude </w:t>
      </w:r>
      <w:r w:rsidR="00437C3C">
        <w:rPr>
          <w:sz w:val="22"/>
          <w:szCs w:val="22"/>
        </w:rPr>
        <w:t xml:space="preserve">(prendre soin d’autrui) et </w:t>
      </w:r>
      <w:r w:rsidR="00437C3C">
        <w:rPr>
          <w:i/>
          <w:sz w:val="22"/>
          <w:szCs w:val="22"/>
        </w:rPr>
        <w:t>la technicité</w:t>
      </w:r>
      <w:r w:rsidR="00437C3C">
        <w:rPr>
          <w:sz w:val="22"/>
          <w:szCs w:val="22"/>
        </w:rPr>
        <w:t xml:space="preserve"> (attention au monde) // cette nouvelle allure de la vie serait vaine et éphémère si elle ne trouvait les conditions de son accomplissement dans une organisation de la vie commune des hommes // ces conditions sont constituées par les </w:t>
      </w:r>
      <w:r w:rsidR="00437C3C">
        <w:rPr>
          <w:i/>
          <w:sz w:val="22"/>
          <w:szCs w:val="22"/>
        </w:rPr>
        <w:t xml:space="preserve">processus d’identification </w:t>
      </w:r>
      <w:r w:rsidR="00437C3C">
        <w:rPr>
          <w:sz w:val="22"/>
          <w:szCs w:val="22"/>
        </w:rPr>
        <w:t xml:space="preserve">// ils permettent à </w:t>
      </w:r>
      <w:r w:rsidR="00437C3C" w:rsidRPr="00437C3C">
        <w:rPr>
          <w:i/>
          <w:sz w:val="22"/>
          <w:szCs w:val="22"/>
        </w:rPr>
        <w:t>l’identité-à-soi</w:t>
      </w:r>
      <w:r w:rsidR="00D95F57">
        <w:rPr>
          <w:i/>
          <w:sz w:val="22"/>
          <w:szCs w:val="22"/>
        </w:rPr>
        <w:t xml:space="preserve"> originelle de l’humain</w:t>
      </w:r>
      <w:r w:rsidR="00D95F57">
        <w:rPr>
          <w:sz w:val="22"/>
          <w:szCs w:val="22"/>
        </w:rPr>
        <w:t xml:space="preserve"> de s’engager dans l’aventure de sa propre réalisation // la sollicitude dans la rencontre avec les autres, la technicité dans la rencontre avec le monde // l’identité humaine originelle entre en devenir en se diffractant dans l’Histoire en une multitude d’</w:t>
      </w:r>
      <w:r w:rsidR="00D95F57">
        <w:rPr>
          <w:i/>
          <w:sz w:val="22"/>
          <w:szCs w:val="22"/>
        </w:rPr>
        <w:t>expériences identitaires</w:t>
      </w:r>
      <w:r w:rsidR="006115A6">
        <w:rPr>
          <w:sz w:val="22"/>
          <w:szCs w:val="22"/>
        </w:rPr>
        <w:t xml:space="preserve"> // entre </w:t>
      </w:r>
      <w:r w:rsidR="00701B26">
        <w:rPr>
          <w:sz w:val="22"/>
          <w:szCs w:val="22"/>
        </w:rPr>
        <w:t>l’identité originelle de l’humain qualifiée par l</w:t>
      </w:r>
      <w:r w:rsidR="00272283">
        <w:rPr>
          <w:sz w:val="22"/>
          <w:szCs w:val="22"/>
        </w:rPr>
        <w:t xml:space="preserve">a sollicitude et la technicité et les identités d’attribution </w:t>
      </w:r>
      <w:r w:rsidR="00701B26">
        <w:rPr>
          <w:sz w:val="22"/>
          <w:szCs w:val="22"/>
        </w:rPr>
        <w:t>apparaî</w:t>
      </w:r>
      <w:r w:rsidR="00163F2D">
        <w:rPr>
          <w:sz w:val="22"/>
          <w:szCs w:val="22"/>
        </w:rPr>
        <w:t>t un risque de dérive</w:t>
      </w:r>
      <w:r w:rsidR="00701B26">
        <w:rPr>
          <w:sz w:val="22"/>
          <w:szCs w:val="22"/>
        </w:rPr>
        <w:t xml:space="preserve"> des processus d’identification vers</w:t>
      </w:r>
      <w:r w:rsidR="00163F2D">
        <w:rPr>
          <w:sz w:val="22"/>
          <w:szCs w:val="22"/>
        </w:rPr>
        <w:t xml:space="preserve"> des processus d’objectivation, d’assignation et de domination </w:t>
      </w:r>
      <w:r w:rsidR="00272283">
        <w:rPr>
          <w:sz w:val="22"/>
          <w:szCs w:val="22"/>
        </w:rPr>
        <w:t xml:space="preserve">// deux </w:t>
      </w:r>
      <w:r w:rsidR="00272283" w:rsidRPr="00272283">
        <w:rPr>
          <w:i/>
          <w:sz w:val="22"/>
          <w:szCs w:val="22"/>
        </w:rPr>
        <w:t>expériences de tension identitaire</w:t>
      </w:r>
      <w:r w:rsidR="00701B26">
        <w:rPr>
          <w:sz w:val="22"/>
          <w:szCs w:val="22"/>
        </w:rPr>
        <w:t xml:space="preserve"> </w:t>
      </w:r>
      <w:r w:rsidR="00272283">
        <w:rPr>
          <w:sz w:val="22"/>
          <w:szCs w:val="22"/>
        </w:rPr>
        <w:t>illustre</w:t>
      </w:r>
      <w:r w:rsidR="000B4951">
        <w:rPr>
          <w:sz w:val="22"/>
          <w:szCs w:val="22"/>
        </w:rPr>
        <w:t>nt dans l’Histoire cette dérive</w:t>
      </w:r>
      <w:r w:rsidR="00272283">
        <w:rPr>
          <w:sz w:val="22"/>
          <w:szCs w:val="22"/>
        </w:rPr>
        <w:t xml:space="preserve"> des processus d’identification : </w:t>
      </w:r>
      <w:r w:rsidR="00272283" w:rsidRPr="00272283">
        <w:rPr>
          <w:sz w:val="22"/>
          <w:szCs w:val="22"/>
        </w:rPr>
        <w:t>l’expérience de tension identitaire</w:t>
      </w:r>
      <w:r w:rsidR="00272283">
        <w:rPr>
          <w:i/>
          <w:sz w:val="22"/>
          <w:szCs w:val="22"/>
        </w:rPr>
        <w:t xml:space="preserve"> </w:t>
      </w:r>
      <w:r w:rsidR="00272283">
        <w:rPr>
          <w:sz w:val="22"/>
          <w:szCs w:val="22"/>
        </w:rPr>
        <w:t xml:space="preserve">dans </w:t>
      </w:r>
      <w:r w:rsidR="00272283" w:rsidRPr="00272283">
        <w:rPr>
          <w:i/>
          <w:sz w:val="22"/>
          <w:szCs w:val="22"/>
        </w:rPr>
        <w:t>le cadre de la domination coloniale</w:t>
      </w:r>
      <w:r w:rsidR="00272283">
        <w:rPr>
          <w:sz w:val="22"/>
          <w:szCs w:val="22"/>
        </w:rPr>
        <w:t xml:space="preserve">, et celle dans </w:t>
      </w:r>
      <w:r w:rsidR="00272283">
        <w:rPr>
          <w:i/>
          <w:sz w:val="22"/>
          <w:szCs w:val="22"/>
        </w:rPr>
        <w:t>le cadre de la domination masculine</w:t>
      </w:r>
      <w:r w:rsidR="00272283">
        <w:rPr>
          <w:sz w:val="22"/>
          <w:szCs w:val="22"/>
        </w:rPr>
        <w:t>.</w:t>
      </w:r>
    </w:p>
    <w:p w14:paraId="5B0B39FB" w14:textId="2FD695C0" w:rsidR="00272283" w:rsidRDefault="00272283" w:rsidP="00B12C2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Paradigme de la domination coloniale et post-colonialisme : </w:t>
      </w:r>
    </w:p>
    <w:p w14:paraId="563BACE2" w14:textId="40A7DFA9" w:rsidR="00272283" w:rsidRPr="00272283" w:rsidRDefault="00272283" w:rsidP="00B12C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Dans le paradigme colonial les processus d’identification sont impliqués dans </w:t>
      </w:r>
      <w:r>
        <w:rPr>
          <w:i/>
          <w:sz w:val="22"/>
          <w:szCs w:val="22"/>
        </w:rPr>
        <w:t xml:space="preserve">une manipulation et une mystification </w:t>
      </w:r>
      <w:r>
        <w:rPr>
          <w:sz w:val="22"/>
          <w:szCs w:val="22"/>
        </w:rPr>
        <w:t>de la référence à l’identité humaine</w:t>
      </w:r>
      <w:r w:rsidR="00EB466F">
        <w:rPr>
          <w:sz w:val="22"/>
          <w:szCs w:val="22"/>
        </w:rPr>
        <w:t xml:space="preserve"> : manipulation dans le jeu d’identités d’attribution humiliantes et dégradantes et mystification hégémonique de la domination coloniale se justifiant comme </w:t>
      </w:r>
      <w:r w:rsidR="0005606B">
        <w:rPr>
          <w:sz w:val="22"/>
          <w:szCs w:val="22"/>
        </w:rPr>
        <w:t>seule voie d’accès à la civilisation pour des êtres qu’elle a préalablement identifiés comme mineurs.</w:t>
      </w:r>
    </w:p>
    <w:p w14:paraId="5A3166F7" w14:textId="750EB936" w:rsidR="00C94B28" w:rsidRDefault="0005606B" w:rsidP="00B12C24">
      <w:pPr>
        <w:jc w:val="both"/>
      </w:pPr>
      <w:r w:rsidRPr="0005606B">
        <w:rPr>
          <w:sz w:val="22"/>
          <w:szCs w:val="22"/>
        </w:rPr>
        <w:t xml:space="preserve">A l’intérieur du paradigme colonial et à partir de l’expérience de l’oppression et de l’aliénation coloniales, et de la mémoire que l’on en conserve, </w:t>
      </w:r>
      <w:r w:rsidRPr="0005606B">
        <w:rPr>
          <w:i/>
          <w:sz w:val="22"/>
          <w:szCs w:val="22"/>
        </w:rPr>
        <w:t>la pensée postcoloniale</w:t>
      </w:r>
      <w:r w:rsidRPr="0005606B">
        <w:rPr>
          <w:sz w:val="22"/>
          <w:szCs w:val="22"/>
        </w:rPr>
        <w:t xml:space="preserve"> déforce l’attention quasi obsessionnelle inhérente à ce paradigme pour l’altérité réduite aux identifications servant différents régimes de domination ; elle oriente cette attention vers la notion de relation, vers l’identité de chaque être humain conçue comme « </w:t>
      </w:r>
      <w:r w:rsidRPr="0005606B">
        <w:rPr>
          <w:i/>
          <w:sz w:val="22"/>
          <w:szCs w:val="22"/>
        </w:rPr>
        <w:t>altérité-en-relation </w:t>
      </w:r>
      <w:r w:rsidRPr="0005606B">
        <w:rPr>
          <w:sz w:val="22"/>
          <w:szCs w:val="22"/>
        </w:rPr>
        <w:t>»</w:t>
      </w:r>
      <w:r>
        <w:t>.</w:t>
      </w:r>
    </w:p>
    <w:p w14:paraId="50E4446D" w14:textId="6A235060" w:rsidR="00ED4B82" w:rsidRDefault="00ED4B82" w:rsidP="00B12C24">
      <w:pPr>
        <w:jc w:val="both"/>
        <w:rPr>
          <w:rFonts w:cs="Arial"/>
          <w:bCs/>
          <w:iCs/>
          <w:color w:val="202222"/>
          <w:sz w:val="22"/>
          <w:szCs w:val="22"/>
        </w:rPr>
      </w:pPr>
      <w:r w:rsidRPr="00ED4B82">
        <w:rPr>
          <w:sz w:val="22"/>
          <w:szCs w:val="22"/>
        </w:rPr>
        <w:t xml:space="preserve">Penser l’altérité-en-relation, c’est penser </w:t>
      </w:r>
      <w:r w:rsidRPr="00ED4B82">
        <w:rPr>
          <w:i/>
          <w:sz w:val="22"/>
          <w:szCs w:val="22"/>
        </w:rPr>
        <w:t>l’identité</w:t>
      </w:r>
      <w:r w:rsidRPr="00ED4B82">
        <w:rPr>
          <w:sz w:val="22"/>
          <w:szCs w:val="22"/>
        </w:rPr>
        <w:t xml:space="preserve"> dans les termes de l’ouvert, de la rencontre et de l’avenir.</w:t>
      </w:r>
      <w:r>
        <w:rPr>
          <w:sz w:val="22"/>
          <w:szCs w:val="22"/>
        </w:rPr>
        <w:t xml:space="preserve"> A la suite des penseurs de la </w:t>
      </w:r>
      <w:r>
        <w:rPr>
          <w:i/>
          <w:sz w:val="22"/>
          <w:szCs w:val="22"/>
        </w:rPr>
        <w:t>Négritude</w:t>
      </w:r>
      <w:r>
        <w:rPr>
          <w:sz w:val="22"/>
          <w:szCs w:val="22"/>
        </w:rPr>
        <w:t xml:space="preserve">, </w:t>
      </w:r>
      <w:r w:rsidRPr="00ED4B82">
        <w:rPr>
          <w:rFonts w:cs="Arial"/>
          <w:bCs/>
          <w:iCs/>
          <w:color w:val="202222"/>
          <w:sz w:val="22"/>
          <w:szCs w:val="22"/>
        </w:rPr>
        <w:t xml:space="preserve">Senghor, Aimé Césaire, Alioune </w:t>
      </w:r>
      <w:proofErr w:type="spellStart"/>
      <w:r w:rsidRPr="00ED4B82">
        <w:rPr>
          <w:rFonts w:cs="Arial"/>
          <w:bCs/>
          <w:iCs/>
          <w:color w:val="202222"/>
          <w:sz w:val="22"/>
          <w:szCs w:val="22"/>
        </w:rPr>
        <w:t>Diop</w:t>
      </w:r>
      <w:proofErr w:type="spellEnd"/>
      <w:r w:rsidRPr="00ED4B82">
        <w:rPr>
          <w:rFonts w:cs="Arial"/>
          <w:bCs/>
          <w:iCs/>
          <w:color w:val="202222"/>
          <w:sz w:val="22"/>
          <w:szCs w:val="22"/>
        </w:rPr>
        <w:t xml:space="preserve"> ou encore le poète Léon-Gontran Damas,</w:t>
      </w:r>
      <w:r>
        <w:rPr>
          <w:rFonts w:cs="Arial"/>
          <w:bCs/>
          <w:iCs/>
          <w:color w:val="202222"/>
          <w:sz w:val="22"/>
          <w:szCs w:val="22"/>
        </w:rPr>
        <w:t xml:space="preserve"> les penseurs et philosophes contemporains continuent d’ouvrir l’expérience identitaire de la tension entre le désir d’être soi-même et les processus d’identification humiliants et dégradants à une réflexion sur l’universalité et l’avenir de l’identité humaine.</w:t>
      </w:r>
    </w:p>
    <w:p w14:paraId="675CB1F1" w14:textId="7F532BEE" w:rsidR="00ED4B82" w:rsidRDefault="00CE1BA1" w:rsidP="00B12C24">
      <w:pPr>
        <w:jc w:val="both"/>
        <w:rPr>
          <w:rFonts w:cs="Arial"/>
          <w:bCs/>
          <w:iCs/>
          <w:color w:val="202222"/>
          <w:sz w:val="22"/>
          <w:szCs w:val="22"/>
        </w:rPr>
      </w:pPr>
      <w:proofErr w:type="spellStart"/>
      <w:r>
        <w:rPr>
          <w:rFonts w:cs="Arial"/>
          <w:bCs/>
          <w:iCs/>
          <w:color w:val="202222"/>
          <w:sz w:val="22"/>
          <w:szCs w:val="22"/>
        </w:rPr>
        <w:t>L.S</w:t>
      </w:r>
      <w:proofErr w:type="spellEnd"/>
      <w:r>
        <w:rPr>
          <w:rFonts w:cs="Arial"/>
          <w:bCs/>
          <w:iCs/>
          <w:color w:val="202222"/>
          <w:sz w:val="22"/>
          <w:szCs w:val="22"/>
        </w:rPr>
        <w:t xml:space="preserve">. Senghor revendique ainsi l’identité universelle humaine en termes de </w:t>
      </w:r>
      <w:r>
        <w:rPr>
          <w:rFonts w:cs="Arial"/>
          <w:bCs/>
          <w:i/>
          <w:iCs/>
          <w:color w:val="202222"/>
          <w:sz w:val="22"/>
          <w:szCs w:val="22"/>
        </w:rPr>
        <w:t>métissage</w:t>
      </w:r>
      <w:r>
        <w:rPr>
          <w:rFonts w:cs="Arial"/>
          <w:bCs/>
          <w:iCs/>
          <w:color w:val="202222"/>
          <w:sz w:val="22"/>
          <w:szCs w:val="22"/>
        </w:rPr>
        <w:t>.</w:t>
      </w:r>
    </w:p>
    <w:p w14:paraId="2CE162DE" w14:textId="77777777" w:rsidR="00CE1BA1" w:rsidRDefault="00CE1BA1" w:rsidP="00B12C24">
      <w:pPr>
        <w:jc w:val="both"/>
        <w:rPr>
          <w:rFonts w:cs="Arial"/>
          <w:bCs/>
          <w:iCs/>
          <w:color w:val="202222"/>
          <w:sz w:val="22"/>
          <w:szCs w:val="22"/>
        </w:rPr>
      </w:pPr>
      <w:r>
        <w:rPr>
          <w:rFonts w:cs="Arial"/>
          <w:bCs/>
          <w:iCs/>
          <w:color w:val="202222"/>
          <w:sz w:val="22"/>
          <w:szCs w:val="22"/>
        </w:rPr>
        <w:t xml:space="preserve">Alioune </w:t>
      </w:r>
      <w:proofErr w:type="spellStart"/>
      <w:r>
        <w:rPr>
          <w:rFonts w:cs="Arial"/>
          <w:bCs/>
          <w:iCs/>
          <w:color w:val="202222"/>
          <w:sz w:val="22"/>
          <w:szCs w:val="22"/>
        </w:rPr>
        <w:t>Diop</w:t>
      </w:r>
      <w:proofErr w:type="spellEnd"/>
      <w:r>
        <w:rPr>
          <w:rFonts w:cs="Arial"/>
          <w:bCs/>
          <w:iCs/>
          <w:color w:val="202222"/>
          <w:sz w:val="22"/>
          <w:szCs w:val="22"/>
        </w:rPr>
        <w:t xml:space="preserve"> pose le diagnostic d’une Europe incapable de s’élever à l’universel qu’elle prétend promouvoir puisqu’elle prive l’autre de sa dimension </w:t>
      </w:r>
      <w:r>
        <w:rPr>
          <w:rFonts w:cs="Arial"/>
          <w:bCs/>
          <w:i/>
          <w:iCs/>
          <w:color w:val="202222"/>
          <w:sz w:val="22"/>
          <w:szCs w:val="22"/>
        </w:rPr>
        <w:t xml:space="preserve">d’être-en-relation, </w:t>
      </w:r>
      <w:r>
        <w:rPr>
          <w:rFonts w:cs="Arial"/>
          <w:bCs/>
          <w:iCs/>
          <w:color w:val="202222"/>
          <w:sz w:val="22"/>
          <w:szCs w:val="22"/>
        </w:rPr>
        <w:t>qu’elle aliène son regard et sa parole.</w:t>
      </w:r>
    </w:p>
    <w:p w14:paraId="7F7FFE78" w14:textId="1525DA86" w:rsidR="00CE1BA1" w:rsidRDefault="00CE1BA1" w:rsidP="00B12C24">
      <w:pPr>
        <w:jc w:val="both"/>
        <w:rPr>
          <w:rFonts w:cs="Arial"/>
          <w:bCs/>
          <w:iCs/>
          <w:color w:val="202222"/>
          <w:sz w:val="22"/>
          <w:szCs w:val="22"/>
        </w:rPr>
      </w:pPr>
      <w:r>
        <w:rPr>
          <w:rFonts w:cs="Arial"/>
          <w:bCs/>
          <w:iCs/>
          <w:color w:val="202222"/>
          <w:sz w:val="22"/>
          <w:szCs w:val="22"/>
        </w:rPr>
        <w:t xml:space="preserve">Aimé Césaire, contre l’universel vertical de la </w:t>
      </w:r>
      <w:r w:rsidR="0090720B">
        <w:rPr>
          <w:rFonts w:cs="Arial"/>
          <w:bCs/>
          <w:iCs/>
          <w:color w:val="202222"/>
          <w:sz w:val="22"/>
          <w:szCs w:val="22"/>
        </w:rPr>
        <w:t>tradition philosophique et</w:t>
      </w:r>
      <w:r>
        <w:rPr>
          <w:rFonts w:cs="Arial"/>
          <w:bCs/>
          <w:iCs/>
          <w:color w:val="202222"/>
          <w:sz w:val="22"/>
          <w:szCs w:val="22"/>
        </w:rPr>
        <w:t xml:space="preserve"> politique européenne revendique « </w:t>
      </w:r>
      <w:r>
        <w:rPr>
          <w:rFonts w:cs="Arial"/>
          <w:bCs/>
          <w:i/>
          <w:iCs/>
          <w:color w:val="202222"/>
          <w:sz w:val="22"/>
          <w:szCs w:val="22"/>
        </w:rPr>
        <w:t>un universel riche de tous les particuliers</w:t>
      </w:r>
      <w:r>
        <w:rPr>
          <w:rFonts w:cs="Arial"/>
          <w:bCs/>
          <w:iCs/>
          <w:color w:val="202222"/>
          <w:sz w:val="22"/>
          <w:szCs w:val="22"/>
        </w:rPr>
        <w:t> ».</w:t>
      </w:r>
    </w:p>
    <w:p w14:paraId="2D4C28FC" w14:textId="77777777" w:rsidR="0075506E" w:rsidRDefault="0075506E" w:rsidP="00B12C24">
      <w:pPr>
        <w:jc w:val="both"/>
        <w:rPr>
          <w:rFonts w:cs="Arial"/>
          <w:bCs/>
          <w:iCs/>
          <w:color w:val="202222"/>
          <w:sz w:val="22"/>
          <w:szCs w:val="22"/>
        </w:rPr>
      </w:pPr>
      <w:r>
        <w:rPr>
          <w:rFonts w:cs="Arial"/>
          <w:bCs/>
          <w:iCs/>
          <w:color w:val="202222"/>
          <w:sz w:val="22"/>
          <w:szCs w:val="22"/>
        </w:rPr>
        <w:t xml:space="preserve">Les auteurs postcoloniaux contemporains, philosophes, poètes, historiens, orientent la pensée de leurs prédécesseurs vers une sortie du paradigme colonial.   </w:t>
      </w:r>
    </w:p>
    <w:p w14:paraId="59B29D5D" w14:textId="5DCD2383" w:rsidR="0075506E" w:rsidRDefault="00CE1BA1" w:rsidP="00B12C24">
      <w:pPr>
        <w:jc w:val="both"/>
        <w:rPr>
          <w:rFonts w:cs="Arial"/>
          <w:bCs/>
          <w:iCs/>
          <w:color w:val="202222"/>
          <w:sz w:val="22"/>
          <w:szCs w:val="22"/>
        </w:rPr>
      </w:pPr>
      <w:r>
        <w:rPr>
          <w:rFonts w:cs="Arial"/>
          <w:bCs/>
          <w:iCs/>
          <w:color w:val="202222"/>
          <w:sz w:val="22"/>
          <w:szCs w:val="22"/>
        </w:rPr>
        <w:t>Edouard Glissant</w:t>
      </w:r>
      <w:r w:rsidR="0090720B">
        <w:rPr>
          <w:rFonts w:cs="Arial"/>
          <w:bCs/>
          <w:iCs/>
          <w:color w:val="202222"/>
          <w:sz w:val="22"/>
          <w:szCs w:val="22"/>
        </w:rPr>
        <w:t xml:space="preserve"> évoque </w:t>
      </w:r>
      <w:r w:rsidR="0090720B" w:rsidRPr="0090720B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la résistance aux </w:t>
      </w:r>
      <w:r w:rsidR="0090720B" w:rsidRPr="0090720B">
        <w:rPr>
          <w:rFonts w:eastAsia="Times New Roman" w:cs="Arial"/>
          <w:i/>
          <w:color w:val="000000"/>
          <w:sz w:val="22"/>
          <w:szCs w:val="22"/>
          <w:shd w:val="clear" w:color="auto" w:fill="FFFFFF"/>
        </w:rPr>
        <w:t>« manœuvres de l’identique</w:t>
      </w:r>
      <w:r w:rsidR="0090720B" w:rsidRPr="0090720B">
        <w:rPr>
          <w:rFonts w:eastAsia="Times New Roman" w:cs="Arial"/>
          <w:color w:val="000000"/>
          <w:sz w:val="22"/>
          <w:szCs w:val="22"/>
          <w:shd w:val="clear" w:color="auto" w:fill="FFFFFF"/>
        </w:rPr>
        <w:t> », c’est-à-dire aux processus d’identification qui aplatissent l’existence sur des régimes uniformes d’équivalence.</w:t>
      </w:r>
      <w:r w:rsidR="0090720B">
        <w:rPr>
          <w:rFonts w:eastAsia="Times New Roman" w:cs="Arial"/>
          <w:color w:val="000000"/>
          <w:shd w:val="clear" w:color="auto" w:fill="FFFFFF"/>
        </w:rPr>
        <w:t xml:space="preserve"> </w:t>
      </w:r>
      <w:r>
        <w:rPr>
          <w:rFonts w:cs="Arial"/>
          <w:bCs/>
          <w:iCs/>
          <w:color w:val="202222"/>
          <w:sz w:val="22"/>
          <w:szCs w:val="22"/>
        </w:rPr>
        <w:t xml:space="preserve"> </w:t>
      </w:r>
    </w:p>
    <w:p w14:paraId="6578E056" w14:textId="77777777" w:rsidR="004E6AA5" w:rsidRDefault="0075506E" w:rsidP="00B12C24">
      <w:pPr>
        <w:jc w:val="both"/>
        <w:rPr>
          <w:rFonts w:cs="Arial"/>
          <w:bCs/>
          <w:iCs/>
          <w:color w:val="202222"/>
          <w:sz w:val="22"/>
          <w:szCs w:val="22"/>
        </w:rPr>
      </w:pPr>
      <w:r>
        <w:rPr>
          <w:rFonts w:cs="Arial"/>
          <w:bCs/>
          <w:iCs/>
          <w:color w:val="202222"/>
          <w:sz w:val="22"/>
          <w:szCs w:val="22"/>
        </w:rPr>
        <w:t>Souleymane Bachir Diagne voit dans la traduction le paradigme qui donne sens à « </w:t>
      </w:r>
      <w:r>
        <w:rPr>
          <w:rFonts w:cs="Arial"/>
          <w:bCs/>
          <w:i/>
          <w:iCs/>
          <w:color w:val="202222"/>
          <w:sz w:val="22"/>
          <w:szCs w:val="22"/>
        </w:rPr>
        <w:t>l’universel de la rencontre</w:t>
      </w:r>
      <w:r>
        <w:rPr>
          <w:rFonts w:cs="Arial"/>
          <w:bCs/>
          <w:iCs/>
          <w:color w:val="202222"/>
          <w:sz w:val="22"/>
          <w:szCs w:val="22"/>
        </w:rPr>
        <w:t xml:space="preserve"> ». La traduction est </w:t>
      </w:r>
      <w:r>
        <w:rPr>
          <w:rFonts w:cs="Arial"/>
          <w:bCs/>
          <w:i/>
          <w:iCs/>
          <w:color w:val="202222"/>
          <w:sz w:val="22"/>
          <w:szCs w:val="22"/>
        </w:rPr>
        <w:t xml:space="preserve">réciprocité, attention à l’autre </w:t>
      </w:r>
      <w:r>
        <w:rPr>
          <w:rFonts w:cs="Arial"/>
          <w:bCs/>
          <w:iCs/>
          <w:color w:val="202222"/>
          <w:sz w:val="22"/>
          <w:szCs w:val="22"/>
        </w:rPr>
        <w:t xml:space="preserve">et ouverture d’une scène où </w:t>
      </w:r>
      <w:r w:rsidR="004E6AA5">
        <w:rPr>
          <w:rFonts w:cs="Arial"/>
          <w:bCs/>
          <w:iCs/>
          <w:color w:val="202222"/>
          <w:sz w:val="22"/>
          <w:szCs w:val="22"/>
        </w:rPr>
        <w:t xml:space="preserve">se tissent les multiples trames de </w:t>
      </w:r>
      <w:r w:rsidR="004E6AA5" w:rsidRPr="004E6AA5">
        <w:rPr>
          <w:rFonts w:cs="Arial"/>
          <w:bCs/>
          <w:i/>
          <w:iCs/>
          <w:color w:val="202222"/>
          <w:sz w:val="22"/>
          <w:szCs w:val="22"/>
        </w:rPr>
        <w:t>l’identité humaine en devenir</w:t>
      </w:r>
      <w:r w:rsidR="004E6AA5">
        <w:rPr>
          <w:rFonts w:cs="Arial"/>
          <w:bCs/>
          <w:iCs/>
          <w:color w:val="202222"/>
          <w:sz w:val="22"/>
          <w:szCs w:val="22"/>
        </w:rPr>
        <w:t xml:space="preserve">. </w:t>
      </w:r>
    </w:p>
    <w:p w14:paraId="141968BF" w14:textId="77777777" w:rsidR="00142ECD" w:rsidRDefault="004E6AA5" w:rsidP="00B12C24">
      <w:pPr>
        <w:jc w:val="both"/>
        <w:rPr>
          <w:rFonts w:eastAsia="Times New Roman" w:cs="Arial"/>
          <w:color w:val="131313"/>
          <w:sz w:val="22"/>
          <w:szCs w:val="22"/>
          <w:shd w:val="clear" w:color="auto" w:fill="FFFFFF"/>
        </w:rPr>
      </w:pPr>
      <w:r>
        <w:rPr>
          <w:rFonts w:cs="Arial"/>
          <w:bCs/>
          <w:iCs/>
          <w:color w:val="202222"/>
          <w:sz w:val="22"/>
          <w:szCs w:val="22"/>
        </w:rPr>
        <w:t xml:space="preserve">Achille </w:t>
      </w:r>
      <w:proofErr w:type="spellStart"/>
      <w:r>
        <w:rPr>
          <w:rFonts w:cs="Arial"/>
          <w:bCs/>
          <w:iCs/>
          <w:color w:val="202222"/>
          <w:sz w:val="22"/>
          <w:szCs w:val="22"/>
        </w:rPr>
        <w:t>Mbembé</w:t>
      </w:r>
      <w:proofErr w:type="spellEnd"/>
      <w:r>
        <w:rPr>
          <w:rFonts w:cs="Arial"/>
          <w:bCs/>
          <w:iCs/>
          <w:color w:val="202222"/>
          <w:sz w:val="22"/>
          <w:szCs w:val="22"/>
        </w:rPr>
        <w:t xml:space="preserve"> évoque un être humain débarrassé « </w:t>
      </w:r>
      <w:r w:rsidRPr="004E6AA5">
        <w:rPr>
          <w:rFonts w:cs="Arial"/>
          <w:bCs/>
          <w:i/>
          <w:iCs/>
          <w:color w:val="202222"/>
          <w:sz w:val="22"/>
          <w:szCs w:val="22"/>
        </w:rPr>
        <w:t>du fardeau de la race </w:t>
      </w:r>
      <w:r>
        <w:rPr>
          <w:rFonts w:cs="Arial"/>
          <w:bCs/>
          <w:iCs/>
          <w:color w:val="202222"/>
          <w:sz w:val="22"/>
          <w:szCs w:val="22"/>
        </w:rPr>
        <w:t>»</w:t>
      </w:r>
      <w:r w:rsidR="00895B0E">
        <w:rPr>
          <w:rFonts w:cs="Arial"/>
          <w:bCs/>
          <w:iCs/>
          <w:color w:val="202222"/>
          <w:sz w:val="22"/>
          <w:szCs w:val="22"/>
        </w:rPr>
        <w:t xml:space="preserve"> et des identifications de clôture aliénantes. </w:t>
      </w:r>
      <w:r w:rsidR="00142ECD">
        <w:rPr>
          <w:rFonts w:cs="Arial"/>
          <w:bCs/>
          <w:iCs/>
          <w:color w:val="202222"/>
          <w:sz w:val="22"/>
          <w:szCs w:val="22"/>
        </w:rPr>
        <w:t>Le paradigme de l’identité humaine en devenir qu’il propose est celui du « </w:t>
      </w:r>
      <w:r w:rsidR="00142ECD">
        <w:rPr>
          <w:rFonts w:cs="Arial"/>
          <w:bCs/>
          <w:i/>
          <w:iCs/>
          <w:color w:val="202222"/>
          <w:sz w:val="22"/>
          <w:szCs w:val="22"/>
        </w:rPr>
        <w:t>passant</w:t>
      </w:r>
      <w:r w:rsidR="00142ECD">
        <w:rPr>
          <w:rFonts w:cs="Arial"/>
          <w:bCs/>
          <w:iCs/>
          <w:color w:val="202222"/>
          <w:sz w:val="22"/>
          <w:szCs w:val="22"/>
        </w:rPr>
        <w:t> » :</w:t>
      </w:r>
      <w:r w:rsidR="00142ECD" w:rsidRPr="00142ECD">
        <w:rPr>
          <w:rFonts w:eastAsia="Times New Roman" w:cs="Arial"/>
          <w:color w:val="131313"/>
          <w:shd w:val="clear" w:color="auto" w:fill="FFFFFF"/>
        </w:rPr>
        <w:t xml:space="preserve"> </w:t>
      </w:r>
      <w:r w:rsidR="00142ECD" w:rsidRPr="00142ECD">
        <w:rPr>
          <w:rFonts w:eastAsia="Times New Roman" w:cs="Arial"/>
          <w:color w:val="131313"/>
          <w:sz w:val="22"/>
          <w:szCs w:val="22"/>
          <w:shd w:val="clear" w:color="auto" w:fill="FFFFFF"/>
        </w:rPr>
        <w:t xml:space="preserve">être soi se construit dans le sillage des passages, des </w:t>
      </w:r>
      <w:r w:rsidR="00142ECD" w:rsidRPr="00142ECD">
        <w:rPr>
          <w:rFonts w:eastAsia="Times New Roman" w:cs="Arial"/>
          <w:color w:val="131313"/>
          <w:sz w:val="22"/>
          <w:szCs w:val="22"/>
          <w:shd w:val="clear" w:color="auto" w:fill="FFFFFF"/>
        </w:rPr>
        <w:lastRenderedPageBreak/>
        <w:t>itinéraires qui nous mènent à la rencontre des Autres, eux-mêmes « passants », avant de reprendre le chemin vers d’autres rencontres.</w:t>
      </w:r>
    </w:p>
    <w:p w14:paraId="396F0E62" w14:textId="05D5442F" w:rsidR="003A028E" w:rsidRPr="003A028E" w:rsidRDefault="003A028E" w:rsidP="003A028E">
      <w:pPr>
        <w:jc w:val="both"/>
        <w:rPr>
          <w:rFonts w:eastAsia="Times New Roman" w:cs="Arial"/>
          <w:color w:val="1B1B1B"/>
          <w:sz w:val="22"/>
          <w:szCs w:val="22"/>
          <w:shd w:val="clear" w:color="auto" w:fill="FFFFFF"/>
        </w:rPr>
      </w:pP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>Ce que la pensée postcoloniale apporte, c’est cette question</w:t>
      </w:r>
      <w:r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 posée par Edouard Glissant et</w:t>
      </w: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 qui n’est autre que celle des conditions de la fidélité à soi, d</w:t>
      </w:r>
      <w:r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e la fidélité à l’humain en soi : </w:t>
      </w:r>
      <w:r w:rsidRPr="003A028E">
        <w:rPr>
          <w:rFonts w:eastAsia="Times New Roman" w:cs="Arial"/>
          <w:color w:val="000000"/>
          <w:sz w:val="22"/>
          <w:szCs w:val="22"/>
          <w:shd w:val="clear" w:color="auto" w:fill="FFFFFF"/>
        </w:rPr>
        <w:t>« </w:t>
      </w:r>
      <w:r w:rsidRPr="003A028E">
        <w:rPr>
          <w:rFonts w:eastAsia="Times New Roman" w:cs="Arial"/>
          <w:i/>
          <w:color w:val="1B1B1B"/>
          <w:sz w:val="22"/>
          <w:szCs w:val="22"/>
          <w:shd w:val="clear" w:color="auto" w:fill="FFFFFF"/>
        </w:rPr>
        <w:t>Dans le panorama actuel du monde, une grande question est celle-ci : comment être soi sans se fermer à l’autre, et comment s’ouvrir à l’autre sans se perdre soi-même ? </w:t>
      </w: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>»</w:t>
      </w:r>
      <w:r>
        <w:rPr>
          <w:rFonts w:eastAsia="Times New Roman" w:cs="Arial"/>
          <w:color w:val="1B1B1B"/>
          <w:sz w:val="22"/>
          <w:szCs w:val="22"/>
          <w:shd w:val="clear" w:color="auto" w:fill="FFFFFF"/>
        </w:rPr>
        <w:t>.</w:t>
      </w: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 </w:t>
      </w:r>
    </w:p>
    <w:p w14:paraId="74879A7F" w14:textId="77777777" w:rsidR="003A028E" w:rsidRPr="003A028E" w:rsidRDefault="003A028E" w:rsidP="003A028E">
      <w:pPr>
        <w:jc w:val="both"/>
        <w:rPr>
          <w:rFonts w:eastAsia="Times New Roman" w:cs="Arial"/>
          <w:color w:val="1B1B1B"/>
          <w:sz w:val="22"/>
          <w:szCs w:val="22"/>
          <w:shd w:val="clear" w:color="auto" w:fill="FFFFFF"/>
        </w:rPr>
      </w:pPr>
    </w:p>
    <w:p w14:paraId="113EE344" w14:textId="06A71A9A" w:rsidR="003A028E" w:rsidRPr="003A028E" w:rsidRDefault="003A028E" w:rsidP="003A028E">
      <w:pPr>
        <w:jc w:val="both"/>
        <w:rPr>
          <w:rFonts w:eastAsia="Times New Roman" w:cs="Arial"/>
          <w:color w:val="1B1B1B"/>
          <w:sz w:val="22"/>
          <w:szCs w:val="22"/>
          <w:shd w:val="clear" w:color="auto" w:fill="FFFFFF"/>
        </w:rPr>
      </w:pP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ab/>
        <w:t>Nous retrouv</w:t>
      </w:r>
      <w:r w:rsidR="00582D25">
        <w:rPr>
          <w:rFonts w:eastAsia="Times New Roman" w:cs="Arial"/>
          <w:color w:val="1B1B1B"/>
          <w:sz w:val="22"/>
          <w:szCs w:val="22"/>
          <w:shd w:val="clear" w:color="auto" w:fill="FFFFFF"/>
        </w:rPr>
        <w:t>er</w:t>
      </w: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ons cette question </w:t>
      </w:r>
      <w:r w:rsidR="00582D25">
        <w:rPr>
          <w:rFonts w:eastAsia="Times New Roman" w:cs="Arial"/>
          <w:color w:val="1B1B1B"/>
          <w:sz w:val="22"/>
          <w:szCs w:val="22"/>
          <w:shd w:val="clear" w:color="auto" w:fill="FFFFFF"/>
        </w:rPr>
        <w:t>dans la pensée post-féministe contemporaine à partir de</w:t>
      </w: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 cette autre expérience identitaire majeure </w:t>
      </w:r>
      <w:r w:rsidR="00582D25">
        <w:rPr>
          <w:rFonts w:eastAsia="Times New Roman" w:cs="Arial"/>
          <w:color w:val="1B1B1B"/>
          <w:sz w:val="22"/>
          <w:szCs w:val="22"/>
          <w:shd w:val="clear" w:color="auto" w:fill="FFFFFF"/>
        </w:rPr>
        <w:t>de</w:t>
      </w: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 ce que nous pourrions appeler « la civilisation humaine », </w:t>
      </w:r>
      <w:r w:rsidR="00371AC9">
        <w:rPr>
          <w:rFonts w:eastAsia="Times New Roman" w:cs="Arial"/>
          <w:color w:val="1B1B1B"/>
          <w:sz w:val="22"/>
          <w:szCs w:val="22"/>
          <w:shd w:val="clear" w:color="auto" w:fill="FFFFFF"/>
        </w:rPr>
        <w:t>à savoir</w:t>
      </w: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 </w:t>
      </w:r>
      <w:r w:rsidRPr="00582D25">
        <w:rPr>
          <w:rFonts w:eastAsia="Times New Roman" w:cs="Arial"/>
          <w:i/>
          <w:color w:val="1B1B1B"/>
          <w:sz w:val="22"/>
          <w:szCs w:val="22"/>
          <w:shd w:val="clear" w:color="auto" w:fill="FFFFFF"/>
        </w:rPr>
        <w:t xml:space="preserve">l’expérience </w:t>
      </w:r>
      <w:r w:rsidR="00582D25" w:rsidRPr="00582D25">
        <w:rPr>
          <w:rFonts w:eastAsia="Times New Roman" w:cs="Arial"/>
          <w:i/>
          <w:color w:val="1B1B1B"/>
          <w:sz w:val="22"/>
          <w:szCs w:val="22"/>
          <w:shd w:val="clear" w:color="auto" w:fill="FFFFFF"/>
        </w:rPr>
        <w:t xml:space="preserve">identitaire </w:t>
      </w:r>
      <w:r w:rsidRPr="00582D25">
        <w:rPr>
          <w:rFonts w:eastAsia="Times New Roman" w:cs="Arial"/>
          <w:i/>
          <w:color w:val="1B1B1B"/>
          <w:sz w:val="22"/>
          <w:szCs w:val="22"/>
          <w:shd w:val="clear" w:color="auto" w:fill="FFFFFF"/>
        </w:rPr>
        <w:t>de la domination masculine</w:t>
      </w:r>
      <w:r w:rsidRPr="003A028E"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. </w:t>
      </w:r>
    </w:p>
    <w:p w14:paraId="3447F7B5" w14:textId="316BD8F0" w:rsidR="00C94B28" w:rsidRPr="003A028E" w:rsidRDefault="00142ECD" w:rsidP="00B12C24">
      <w:pPr>
        <w:jc w:val="both"/>
        <w:rPr>
          <w:rFonts w:cs="Arial"/>
          <w:bCs/>
          <w:i/>
          <w:iCs/>
          <w:color w:val="202222"/>
          <w:sz w:val="22"/>
          <w:szCs w:val="22"/>
        </w:rPr>
      </w:pPr>
      <w:r>
        <w:rPr>
          <w:rFonts w:eastAsia="Times New Roman" w:cs="Arial"/>
          <w:color w:val="131313"/>
          <w:shd w:val="clear" w:color="auto" w:fill="FFFFFF"/>
        </w:rPr>
        <w:t xml:space="preserve"> </w:t>
      </w:r>
      <w:r>
        <w:rPr>
          <w:rFonts w:cs="Arial"/>
          <w:bCs/>
          <w:iCs/>
          <w:color w:val="202222"/>
          <w:sz w:val="22"/>
          <w:szCs w:val="22"/>
        </w:rPr>
        <w:t xml:space="preserve"> </w:t>
      </w:r>
      <w:r w:rsidR="0075506E">
        <w:rPr>
          <w:rFonts w:cs="Arial"/>
          <w:bCs/>
          <w:i/>
          <w:iCs/>
          <w:color w:val="202222"/>
          <w:sz w:val="22"/>
          <w:szCs w:val="22"/>
        </w:rPr>
        <w:t xml:space="preserve"> </w:t>
      </w:r>
    </w:p>
    <w:p w14:paraId="6CEE278B" w14:textId="41D72CC8" w:rsidR="00832085" w:rsidRDefault="00832085" w:rsidP="00B12C24">
      <w:pPr>
        <w:jc w:val="both"/>
        <w:rPr>
          <w:sz w:val="22"/>
          <w:szCs w:val="22"/>
        </w:rPr>
      </w:pPr>
      <w:r>
        <w:rPr>
          <w:sz w:val="22"/>
          <w:szCs w:val="22"/>
        </w:rPr>
        <w:t>Citations du troisième atelier.</w:t>
      </w:r>
    </w:p>
    <w:p w14:paraId="46A84E78" w14:textId="1C9308E3" w:rsidR="00832085" w:rsidRDefault="00832085" w:rsidP="00B12C24">
      <w:pPr>
        <w:jc w:val="both"/>
        <w:rPr>
          <w:rFonts w:cs="Arial"/>
          <w:sz w:val="22"/>
          <w:szCs w:val="22"/>
        </w:rPr>
      </w:pPr>
      <w:r w:rsidRPr="00832085">
        <w:rPr>
          <w:rFonts w:cs="Arial"/>
          <w:sz w:val="22"/>
          <w:szCs w:val="22"/>
        </w:rPr>
        <w:t>« Le langage du colon quand il parle du colonisé est un langage zoologique »</w:t>
      </w:r>
      <w:r>
        <w:rPr>
          <w:rFonts w:cs="Arial"/>
          <w:sz w:val="22"/>
          <w:szCs w:val="22"/>
        </w:rPr>
        <w:t xml:space="preserve">. Frantz Fanon, </w:t>
      </w:r>
      <w:r w:rsidRPr="00832085">
        <w:rPr>
          <w:rFonts w:cs="Arial"/>
          <w:i/>
          <w:sz w:val="22"/>
          <w:szCs w:val="22"/>
        </w:rPr>
        <w:t>Les Damnés de la terre.</w:t>
      </w:r>
      <w:r>
        <w:rPr>
          <w:rFonts w:cs="Arial"/>
          <w:sz w:val="22"/>
          <w:szCs w:val="22"/>
        </w:rPr>
        <w:t xml:space="preserve"> 1961.</w:t>
      </w:r>
    </w:p>
    <w:p w14:paraId="631FC494" w14:textId="67DA8E11" w:rsidR="00832085" w:rsidRDefault="00832085" w:rsidP="00832085">
      <w:pPr>
        <w:tabs>
          <w:tab w:val="left" w:pos="142"/>
          <w:tab w:val="left" w:pos="1560"/>
        </w:tabs>
        <w:jc w:val="both"/>
        <w:rPr>
          <w:rFonts w:cs="Arial"/>
          <w:sz w:val="22"/>
          <w:szCs w:val="22"/>
        </w:rPr>
      </w:pPr>
      <w:r w:rsidRPr="00832085">
        <w:rPr>
          <w:rFonts w:cs="Arial"/>
          <w:sz w:val="22"/>
          <w:szCs w:val="22"/>
        </w:rPr>
        <w:t xml:space="preserve">« (...) plus une race est perfectionnée plus elle tend à se répandre ; plus une race est inférieure et plus elle reste sédentaire ». </w:t>
      </w:r>
      <w:r w:rsidRPr="00832085">
        <w:rPr>
          <w:rFonts w:cs="Arial"/>
          <w:i/>
          <w:sz w:val="22"/>
          <w:szCs w:val="22"/>
        </w:rPr>
        <w:t>Principes de colonisation</w:t>
      </w:r>
      <w:r>
        <w:rPr>
          <w:rFonts w:cs="Arial"/>
          <w:i/>
          <w:sz w:val="22"/>
          <w:szCs w:val="22"/>
        </w:rPr>
        <w:t>.</w:t>
      </w:r>
    </w:p>
    <w:p w14:paraId="4E33B617" w14:textId="438CF246" w:rsidR="000E071B" w:rsidRDefault="000E071B" w:rsidP="00832085">
      <w:pPr>
        <w:tabs>
          <w:tab w:val="left" w:pos="142"/>
          <w:tab w:val="left" w:pos="1560"/>
        </w:tabs>
        <w:jc w:val="both"/>
        <w:rPr>
          <w:rFonts w:cs="Arial"/>
          <w:sz w:val="22"/>
          <w:szCs w:val="22"/>
        </w:rPr>
      </w:pPr>
      <w:r w:rsidRPr="000E071B">
        <w:rPr>
          <w:rFonts w:cs="Arial"/>
          <w:sz w:val="22"/>
          <w:szCs w:val="22"/>
        </w:rPr>
        <w:t xml:space="preserve">« Après le crépuscule des dieux, aurons-nous dans un certain nombre de siècles le crépuscule des Blancs ? ». Alfred Fouillée, </w:t>
      </w:r>
      <w:r w:rsidRPr="000E071B">
        <w:rPr>
          <w:rFonts w:cs="Arial"/>
          <w:i/>
          <w:sz w:val="22"/>
          <w:szCs w:val="22"/>
        </w:rPr>
        <w:t>Tempérament et caractère selon les individus, les sexes et les races</w:t>
      </w:r>
      <w:r w:rsidRPr="000E071B">
        <w:rPr>
          <w:rFonts w:cs="Arial"/>
          <w:sz w:val="22"/>
          <w:szCs w:val="22"/>
        </w:rPr>
        <w:t xml:space="preserve"> (1895).</w:t>
      </w:r>
    </w:p>
    <w:p w14:paraId="5D93A41A" w14:textId="064FB3BC" w:rsidR="0067413A" w:rsidRDefault="0067413A" w:rsidP="00832085">
      <w:pPr>
        <w:tabs>
          <w:tab w:val="left" w:pos="142"/>
          <w:tab w:val="left" w:pos="15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« Chacun doit être métis à sa façon », </w:t>
      </w:r>
      <w:proofErr w:type="spellStart"/>
      <w:r>
        <w:rPr>
          <w:rFonts w:cs="Arial"/>
          <w:sz w:val="22"/>
          <w:szCs w:val="22"/>
        </w:rPr>
        <w:t>L.S</w:t>
      </w:r>
      <w:proofErr w:type="spellEnd"/>
      <w:r>
        <w:rPr>
          <w:rFonts w:cs="Arial"/>
          <w:sz w:val="22"/>
          <w:szCs w:val="22"/>
        </w:rPr>
        <w:t>. Senghor.</w:t>
      </w:r>
    </w:p>
    <w:p w14:paraId="645E4206" w14:textId="1117F242" w:rsidR="00A9254E" w:rsidRPr="000B4951" w:rsidRDefault="00A9254E" w:rsidP="00832085">
      <w:pPr>
        <w:tabs>
          <w:tab w:val="left" w:pos="142"/>
          <w:tab w:val="left" w:pos="1560"/>
        </w:tabs>
        <w:jc w:val="both"/>
        <w:rPr>
          <w:rFonts w:cs="Arial"/>
        </w:rPr>
      </w:pPr>
      <w:r w:rsidRPr="00BF2669">
        <w:rPr>
          <w:rFonts w:cs="Arial"/>
          <w:bCs/>
          <w:iCs/>
          <w:color w:val="202222"/>
          <w:sz w:val="22"/>
          <w:szCs w:val="22"/>
        </w:rPr>
        <w:t xml:space="preserve">« la visée d’un monde </w:t>
      </w:r>
      <w:r w:rsidRPr="00BF2669">
        <w:rPr>
          <w:rFonts w:cs="Arial"/>
          <w:sz w:val="22"/>
          <w:szCs w:val="22"/>
        </w:rPr>
        <w:t>métis et qui ne le serait pas par les accidents de la rencontre mais dans la compréhension advenue que le métissage est un devoir-être. (...).</w:t>
      </w:r>
      <w:r w:rsidR="00BF2669">
        <w:rPr>
          <w:rFonts w:cs="Arial"/>
          <w:sz w:val="22"/>
          <w:szCs w:val="22"/>
        </w:rPr>
        <w:t xml:space="preserve"> </w:t>
      </w:r>
      <w:r w:rsidR="00BF2669" w:rsidRPr="00BF2669">
        <w:rPr>
          <w:rFonts w:cs="Arial"/>
          <w:sz w:val="22"/>
          <w:szCs w:val="22"/>
        </w:rPr>
        <w:t xml:space="preserve">Pour </w:t>
      </w:r>
      <w:proofErr w:type="spellStart"/>
      <w:r w:rsidR="00BF2669" w:rsidRPr="00BF2669">
        <w:rPr>
          <w:rFonts w:cs="Arial"/>
          <w:sz w:val="22"/>
          <w:szCs w:val="22"/>
        </w:rPr>
        <w:t>L.S</w:t>
      </w:r>
      <w:proofErr w:type="spellEnd"/>
      <w:r w:rsidR="00BF2669" w:rsidRPr="00BF2669">
        <w:rPr>
          <w:rFonts w:cs="Arial"/>
          <w:sz w:val="22"/>
          <w:szCs w:val="22"/>
        </w:rPr>
        <w:t>. Senghor, le métissage est à la fois fondement et finalité de la civilisation. Il est fondement, parce que toute civilisation humaine n'est telle que parce que métisse »</w:t>
      </w:r>
      <w:r w:rsidR="00BF2669" w:rsidRPr="005E7B99">
        <w:rPr>
          <w:rFonts w:cs="Arial"/>
        </w:rPr>
        <w:t>.</w:t>
      </w:r>
      <w:r w:rsidR="00BF2669">
        <w:rPr>
          <w:rFonts w:cs="Arial"/>
        </w:rPr>
        <w:t xml:space="preserve"> </w:t>
      </w:r>
      <w:r w:rsidR="00BF2669">
        <w:rPr>
          <w:rFonts w:cs="Arial"/>
          <w:sz w:val="22"/>
          <w:szCs w:val="22"/>
        </w:rPr>
        <w:t xml:space="preserve">Souleymane Bachir Diagne. </w:t>
      </w:r>
    </w:p>
    <w:p w14:paraId="1659BE7F" w14:textId="455ED3AB" w:rsidR="00BF2669" w:rsidRDefault="009B4366" w:rsidP="00266577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color w:val="202222"/>
          <w:sz w:val="22"/>
          <w:szCs w:val="22"/>
        </w:rPr>
        <w:t>« L</w:t>
      </w:r>
      <w:r w:rsidR="00266577" w:rsidRPr="00266577">
        <w:rPr>
          <w:rFonts w:cs="Arial"/>
          <w:bCs/>
          <w:iCs/>
          <w:color w:val="202222"/>
          <w:sz w:val="22"/>
          <w:szCs w:val="22"/>
        </w:rPr>
        <w:t>a sarabande des  cultures innombrables et équivalentes, chacune se justifiant dans son propre contexte, crée un monde certes désoccidentalisé mais aussi un monde désorienté ».</w:t>
      </w:r>
      <w:r w:rsidR="00266577">
        <w:rPr>
          <w:rFonts w:cs="Arial"/>
          <w:bCs/>
          <w:iCs/>
          <w:color w:val="202222"/>
          <w:sz w:val="22"/>
          <w:szCs w:val="22"/>
        </w:rPr>
        <w:t xml:space="preserve"> Emmanuel Levinas, </w:t>
      </w:r>
      <w:r w:rsidR="00266577" w:rsidRPr="00266577">
        <w:rPr>
          <w:rFonts w:cs="Arial"/>
          <w:i/>
          <w:sz w:val="22"/>
          <w:szCs w:val="22"/>
        </w:rPr>
        <w:t>L’humanisme de l’autre homme</w:t>
      </w:r>
      <w:r w:rsidR="00266577">
        <w:rPr>
          <w:rFonts w:cs="Arial"/>
          <w:sz w:val="22"/>
          <w:szCs w:val="22"/>
        </w:rPr>
        <w:t>,1972.</w:t>
      </w:r>
    </w:p>
    <w:p w14:paraId="07020067" w14:textId="2B692A6C" w:rsidR="004E6153" w:rsidRDefault="004E6153" w:rsidP="004E6153">
      <w:pPr>
        <w:widowControl w:val="0"/>
        <w:autoSpaceDE w:val="0"/>
        <w:autoSpaceDN w:val="0"/>
        <w:adjustRightInd w:val="0"/>
        <w:jc w:val="both"/>
        <w:rPr>
          <w:rFonts w:cs="Arial"/>
          <w:bCs/>
          <w:iCs/>
          <w:color w:val="202222"/>
          <w:sz w:val="22"/>
          <w:szCs w:val="22"/>
        </w:rPr>
      </w:pPr>
      <w:r w:rsidRPr="004E6153">
        <w:rPr>
          <w:rFonts w:cs="Arial"/>
          <w:sz w:val="22"/>
          <w:szCs w:val="22"/>
        </w:rPr>
        <w:t>« Voici des siècles  que l’Europe ne se reflète qu’au miroir de sa propre conscience, et se condamne à ne se connaître, à ne connaître la vie qu’incomplètement, puisqu’elle prive les autres (…) du Regard, de la Parole, qui eussent achevé de saisir et révéler le Destin de l’Humanité. »</w:t>
      </w:r>
      <w:r>
        <w:rPr>
          <w:rFonts w:cs="Arial"/>
          <w:sz w:val="22"/>
          <w:szCs w:val="22"/>
        </w:rPr>
        <w:t xml:space="preserve"> Alioune </w:t>
      </w:r>
      <w:proofErr w:type="spellStart"/>
      <w:r>
        <w:rPr>
          <w:rFonts w:cs="Arial"/>
          <w:sz w:val="22"/>
          <w:szCs w:val="22"/>
        </w:rPr>
        <w:t>Diop</w:t>
      </w:r>
      <w:proofErr w:type="spellEnd"/>
      <w:r>
        <w:rPr>
          <w:rFonts w:cs="Arial"/>
          <w:sz w:val="22"/>
          <w:szCs w:val="22"/>
        </w:rPr>
        <w:t xml:space="preserve">, </w:t>
      </w:r>
      <w:r w:rsidRPr="009C3B91">
        <w:rPr>
          <w:rFonts w:cs="Arial"/>
          <w:bCs/>
          <w:i/>
          <w:iCs/>
          <w:color w:val="202222"/>
          <w:sz w:val="22"/>
          <w:szCs w:val="22"/>
        </w:rPr>
        <w:t>Préface</w:t>
      </w:r>
      <w:r w:rsidRPr="004E6153">
        <w:rPr>
          <w:rFonts w:cs="Arial"/>
          <w:bCs/>
          <w:iCs/>
          <w:color w:val="202222"/>
          <w:sz w:val="22"/>
          <w:szCs w:val="22"/>
        </w:rPr>
        <w:t xml:space="preserve"> </w:t>
      </w:r>
      <w:r>
        <w:rPr>
          <w:rFonts w:cs="Arial"/>
          <w:bCs/>
          <w:iCs/>
          <w:color w:val="202222"/>
          <w:sz w:val="22"/>
          <w:szCs w:val="22"/>
        </w:rPr>
        <w:t>du</w:t>
      </w:r>
      <w:r w:rsidRPr="004E6153">
        <w:rPr>
          <w:rFonts w:cs="Arial"/>
          <w:bCs/>
          <w:iCs/>
          <w:color w:val="202222"/>
          <w:sz w:val="22"/>
          <w:szCs w:val="22"/>
        </w:rPr>
        <w:t xml:space="preserve"> </w:t>
      </w:r>
      <w:r>
        <w:rPr>
          <w:rFonts w:cs="Arial"/>
          <w:bCs/>
          <w:iCs/>
          <w:color w:val="202222"/>
          <w:sz w:val="22"/>
          <w:szCs w:val="22"/>
        </w:rPr>
        <w:t>livre</w:t>
      </w:r>
      <w:r w:rsidRPr="004E6153">
        <w:rPr>
          <w:rFonts w:cs="Arial"/>
          <w:bCs/>
          <w:iCs/>
          <w:color w:val="202222"/>
          <w:sz w:val="22"/>
          <w:szCs w:val="22"/>
        </w:rPr>
        <w:t xml:space="preserve"> du Père </w:t>
      </w:r>
      <w:proofErr w:type="spellStart"/>
      <w:r w:rsidRPr="004E6153">
        <w:rPr>
          <w:rFonts w:cs="Arial"/>
          <w:bCs/>
          <w:iCs/>
          <w:color w:val="202222"/>
          <w:sz w:val="22"/>
          <w:szCs w:val="22"/>
        </w:rPr>
        <w:t>Tempels</w:t>
      </w:r>
      <w:proofErr w:type="spellEnd"/>
      <w:r w:rsidRPr="004E6153">
        <w:rPr>
          <w:rFonts w:cs="Arial"/>
          <w:bCs/>
          <w:iCs/>
          <w:color w:val="202222"/>
          <w:sz w:val="22"/>
          <w:szCs w:val="22"/>
        </w:rPr>
        <w:t xml:space="preserve">, </w:t>
      </w:r>
      <w:r w:rsidRPr="004E6153">
        <w:rPr>
          <w:rFonts w:cs="Arial"/>
          <w:bCs/>
          <w:i/>
          <w:iCs/>
          <w:color w:val="202222"/>
          <w:sz w:val="22"/>
          <w:szCs w:val="22"/>
        </w:rPr>
        <w:t>La philosophie Bantou</w:t>
      </w:r>
      <w:r>
        <w:rPr>
          <w:rFonts w:cs="Arial"/>
          <w:bCs/>
          <w:iCs/>
          <w:color w:val="202222"/>
          <w:sz w:val="22"/>
          <w:szCs w:val="22"/>
        </w:rPr>
        <w:t xml:space="preserve"> </w:t>
      </w:r>
      <w:r w:rsidRPr="004E6153">
        <w:rPr>
          <w:rFonts w:cs="Arial"/>
          <w:bCs/>
          <w:iCs/>
          <w:color w:val="202222"/>
          <w:sz w:val="22"/>
          <w:szCs w:val="22"/>
        </w:rPr>
        <w:t>1945</w:t>
      </w:r>
      <w:r>
        <w:rPr>
          <w:rFonts w:cs="Arial"/>
          <w:bCs/>
          <w:iCs/>
          <w:color w:val="202222"/>
          <w:sz w:val="22"/>
          <w:szCs w:val="22"/>
        </w:rPr>
        <w:t>.</w:t>
      </w:r>
    </w:p>
    <w:p w14:paraId="75F4397A" w14:textId="6895D70B" w:rsidR="009C3B91" w:rsidRDefault="00C93108" w:rsidP="004E6153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C93108">
        <w:rPr>
          <w:rFonts w:eastAsia="Times New Roman" w:cs="Arial"/>
          <w:color w:val="000000"/>
          <w:sz w:val="22"/>
          <w:szCs w:val="22"/>
          <w:shd w:val="clear" w:color="auto" w:fill="FFFFFF"/>
        </w:rPr>
        <w:t>« Un fait à mes yeux capital est celui-ci : que nous, hommes de couleur, en ce moment précis de l’évolution historique, avons, dans notre conscience, pris possession de tout le champ de notre singularité et que nous sommes prêts à assumer sur tous les plans et dans tous les domaines les responsabilités qui découlent de cette prise de conscience. (...) Il y a deux manières de se perde : par ségrégation murée dans le particulier ou par dilution dans l’ « universel ». Ma conception de l’universel est celle d’un universel riche de tout le particulier, riche de tous les particuliers, approfondissement et coexi</w:t>
      </w:r>
      <w:r w:rsidR="00CD706B">
        <w:rPr>
          <w:rFonts w:eastAsia="Times New Roman" w:cs="Arial"/>
          <w:color w:val="000000"/>
          <w:sz w:val="22"/>
          <w:szCs w:val="22"/>
          <w:shd w:val="clear" w:color="auto" w:fill="FFFFFF"/>
        </w:rPr>
        <w:t>stence de tous les particuliers</w:t>
      </w:r>
      <w:r w:rsidRPr="00C93108">
        <w:rPr>
          <w:rFonts w:eastAsia="Times New Roman" w:cs="Arial"/>
          <w:color w:val="000000"/>
          <w:sz w:val="22"/>
          <w:szCs w:val="22"/>
          <w:shd w:val="clear" w:color="auto" w:fill="FFFFFF"/>
        </w:rPr>
        <w:t> ».</w:t>
      </w:r>
      <w:r w:rsidR="00CD706B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Aimé Césaire, </w:t>
      </w:r>
      <w:r w:rsidR="00CD706B">
        <w:rPr>
          <w:rFonts w:eastAsia="Times New Roman" w:cs="Arial"/>
          <w:i/>
          <w:color w:val="000000"/>
          <w:sz w:val="22"/>
          <w:szCs w:val="22"/>
          <w:shd w:val="clear" w:color="auto" w:fill="FFFFFF"/>
        </w:rPr>
        <w:t>Lettre de démission du Parti Communiste Français</w:t>
      </w:r>
      <w:r w:rsidR="00CD706B">
        <w:rPr>
          <w:rFonts w:eastAsia="Times New Roman" w:cs="Arial"/>
          <w:color w:val="000000"/>
          <w:sz w:val="22"/>
          <w:szCs w:val="22"/>
          <w:shd w:val="clear" w:color="auto" w:fill="FFFFFF"/>
        </w:rPr>
        <w:t>, 1956.</w:t>
      </w:r>
    </w:p>
    <w:p w14:paraId="09E35026" w14:textId="22BBD683" w:rsidR="00D447F3" w:rsidRDefault="00D447F3" w:rsidP="004E6153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>« Ce n’est pas distraire l’identité que de questionner l’identique</w:t>
      </w:r>
      <w:r w:rsidR="004979EE">
        <w:rPr>
          <w:rFonts w:eastAsia="Times New Roman" w:cs="Arial"/>
          <w:color w:val="000000"/>
          <w:sz w:val="22"/>
          <w:szCs w:val="22"/>
          <w:shd w:val="clear" w:color="auto" w:fill="FFFFFF"/>
        </w:rPr>
        <w:t> (...)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>.</w:t>
      </w:r>
    </w:p>
    <w:p w14:paraId="627E2327" w14:textId="5FCB4F8E" w:rsidR="004979EE" w:rsidRDefault="004979EE" w:rsidP="004E6153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color w:val="1B1B1B"/>
          <w:sz w:val="22"/>
          <w:szCs w:val="22"/>
          <w:shd w:val="clear" w:color="auto" w:fill="FFFFFF"/>
        </w:rPr>
      </w:pPr>
      <w:r w:rsidRPr="004979EE">
        <w:rPr>
          <w:rFonts w:eastAsia="Times New Roman" w:cs="Arial"/>
          <w:color w:val="1B1B1B"/>
          <w:sz w:val="22"/>
          <w:szCs w:val="22"/>
          <w:shd w:val="clear" w:color="auto" w:fill="FFFFFF"/>
        </w:rPr>
        <w:t>Dans le panorama actuel du monde, une grande question est celle-ci : comment être soi sans se fermer à l’autre, et comment s’ouvrir à l’autre sans se perdre soi-même ?</w:t>
      </w:r>
      <w:r>
        <w:rPr>
          <w:rFonts w:eastAsia="Times New Roman" w:cs="Arial"/>
          <w:color w:val="1B1B1B"/>
          <w:sz w:val="22"/>
          <w:szCs w:val="22"/>
          <w:shd w:val="clear" w:color="auto" w:fill="FFFFFF"/>
        </w:rPr>
        <w:t> » Edouard Glissant.</w:t>
      </w:r>
      <w:r w:rsidRPr="004979EE">
        <w:rPr>
          <w:rFonts w:eastAsia="Times New Roman" w:cs="Arial"/>
          <w:color w:val="1B1B1B"/>
          <w:sz w:val="22"/>
          <w:szCs w:val="22"/>
          <w:shd w:val="clear" w:color="auto" w:fill="FFFFFF"/>
        </w:rPr>
        <w:t> </w:t>
      </w:r>
    </w:p>
    <w:p w14:paraId="652700AB" w14:textId="584A013F" w:rsidR="002A3D21" w:rsidRDefault="002A3D21" w:rsidP="004E6153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color w:val="1B1B1B"/>
          <w:sz w:val="22"/>
          <w:szCs w:val="22"/>
          <w:shd w:val="clear" w:color="auto" w:fill="FFFFFF"/>
        </w:rPr>
      </w:pPr>
      <w:r w:rsidRPr="002A3D21">
        <w:rPr>
          <w:rFonts w:eastAsia="Times New Roman" w:cs="Arial"/>
          <w:color w:val="1B1B1B"/>
          <w:sz w:val="22"/>
          <w:szCs w:val="22"/>
          <w:shd w:val="clear" w:color="auto" w:fill="FFFFFF"/>
        </w:rPr>
        <w:t>« </w:t>
      </w:r>
      <w:r>
        <w:rPr>
          <w:rFonts w:eastAsia="Times New Roman" w:cs="Arial"/>
          <w:color w:val="1B1B1B"/>
          <w:sz w:val="22"/>
          <w:szCs w:val="22"/>
          <w:shd w:val="clear" w:color="auto" w:fill="FFFFFF"/>
        </w:rPr>
        <w:t>C</w:t>
      </w:r>
      <w:r w:rsidRPr="002A3D21">
        <w:rPr>
          <w:rFonts w:eastAsia="Times New Roman" w:cs="Arial"/>
          <w:color w:val="1B1B1B"/>
          <w:sz w:val="22"/>
          <w:szCs w:val="22"/>
          <w:shd w:val="clear" w:color="auto" w:fill="FFFFFF"/>
        </w:rPr>
        <w:t>’est quand on est accueilli que l’on est chez soi »</w:t>
      </w:r>
      <w:r>
        <w:rPr>
          <w:rFonts w:eastAsia="Times New Roman" w:cs="Arial"/>
          <w:color w:val="1B1B1B"/>
          <w:sz w:val="22"/>
          <w:szCs w:val="22"/>
          <w:shd w:val="clear" w:color="auto" w:fill="FFFFFF"/>
        </w:rPr>
        <w:t>. Barbara Cassin.</w:t>
      </w:r>
    </w:p>
    <w:p w14:paraId="626E1CCB" w14:textId="77777777" w:rsidR="00577FAA" w:rsidRDefault="00EE3982" w:rsidP="004E6153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color w:val="131313"/>
          <w:sz w:val="22"/>
          <w:szCs w:val="22"/>
          <w:shd w:val="clear" w:color="auto" w:fill="FFFFFF"/>
        </w:rPr>
      </w:pPr>
      <w:r w:rsidRPr="00EE3982">
        <w:rPr>
          <w:rFonts w:eastAsia="Times New Roman" w:cs="Arial"/>
          <w:color w:val="1B1B1B"/>
          <w:sz w:val="22"/>
          <w:szCs w:val="22"/>
          <w:shd w:val="clear" w:color="auto" w:fill="FFFFFF"/>
        </w:rPr>
        <w:t>« </w:t>
      </w:r>
      <w:r>
        <w:rPr>
          <w:rFonts w:eastAsia="Times New Roman" w:cs="Arial"/>
          <w:color w:val="1B1B1B"/>
          <w:sz w:val="22"/>
          <w:szCs w:val="22"/>
          <w:shd w:val="clear" w:color="auto" w:fill="FFFFFF"/>
        </w:rPr>
        <w:t xml:space="preserve">(...) </w:t>
      </w:r>
      <w:r w:rsidRPr="00EE3982">
        <w:rPr>
          <w:rFonts w:eastAsia="Times New Roman" w:cs="Arial"/>
          <w:color w:val="131313"/>
          <w:sz w:val="22"/>
          <w:szCs w:val="22"/>
          <w:shd w:val="clear" w:color="auto" w:fill="FFFFFF"/>
        </w:rPr>
        <w:t>l’idée qu’il y a dans toute personne humaine quelque chose d’indomptable, de foncièrement inapprivoisable, que la domination – peu en importent les formes – ne peut ni éliminer, ni contenir, ni réprimer totalement. </w:t>
      </w:r>
    </w:p>
    <w:p w14:paraId="7B58AD36" w14:textId="77777777" w:rsidR="004E6AA5" w:rsidRDefault="00577FAA" w:rsidP="004E6153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color w:val="131313"/>
          <w:sz w:val="22"/>
          <w:szCs w:val="22"/>
          <w:shd w:val="clear" w:color="auto" w:fill="FFFFFF"/>
        </w:rPr>
      </w:pPr>
      <w:r w:rsidRPr="00577FAA">
        <w:rPr>
          <w:rFonts w:eastAsia="Times New Roman" w:cs="Arial"/>
          <w:color w:val="131313"/>
          <w:sz w:val="22"/>
          <w:szCs w:val="22"/>
          <w:shd w:val="clear" w:color="auto" w:fill="FFFFFF"/>
        </w:rPr>
        <w:t>A quoi pourrait ressembler la personne humaine par-delà l’accident de la naissance, de la nationalité et de la citoyenneté ? ».</w:t>
      </w:r>
      <w:r w:rsidR="00EE3982">
        <w:rPr>
          <w:rFonts w:eastAsia="Times New Roman" w:cs="Arial"/>
          <w:color w:val="131313"/>
          <w:sz w:val="22"/>
          <w:szCs w:val="22"/>
          <w:shd w:val="clear" w:color="auto" w:fill="FFFFFF"/>
        </w:rPr>
        <w:t xml:space="preserve"> </w:t>
      </w:r>
    </w:p>
    <w:p w14:paraId="5F47465A" w14:textId="4D6AB113" w:rsidR="00EE3982" w:rsidRDefault="004E6AA5" w:rsidP="004E6153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color w:val="131313"/>
          <w:sz w:val="22"/>
          <w:szCs w:val="22"/>
          <w:shd w:val="clear" w:color="auto" w:fill="FFFFFF"/>
        </w:rPr>
      </w:pPr>
      <w:r w:rsidRPr="004E6AA5">
        <w:rPr>
          <w:rFonts w:eastAsia="Times New Roman" w:cs="Arial"/>
          <w:color w:val="131313"/>
          <w:sz w:val="22"/>
          <w:szCs w:val="22"/>
          <w:shd w:val="clear" w:color="auto" w:fill="FFFFFF"/>
        </w:rPr>
        <w:t>« Devenir-homme-dans-le-monde n’est ni une question de naissance ni une question d’origine ou de race. C’est une affaire de trajet, de circulation et de transfiguration »</w:t>
      </w:r>
      <w:r w:rsidR="000B4951">
        <w:rPr>
          <w:rFonts w:eastAsia="Times New Roman" w:cs="Arial"/>
          <w:color w:val="131313"/>
          <w:sz w:val="22"/>
          <w:szCs w:val="22"/>
          <w:shd w:val="clear" w:color="auto" w:fill="FFFFFF"/>
        </w:rPr>
        <w:t xml:space="preserve">. </w:t>
      </w:r>
      <w:r w:rsidR="00EE3982">
        <w:rPr>
          <w:rFonts w:eastAsia="Times New Roman" w:cs="Arial"/>
          <w:color w:val="131313"/>
          <w:sz w:val="22"/>
          <w:szCs w:val="22"/>
          <w:shd w:val="clear" w:color="auto" w:fill="FFFFFF"/>
        </w:rPr>
        <w:t xml:space="preserve">Achille </w:t>
      </w:r>
      <w:proofErr w:type="spellStart"/>
      <w:r w:rsidR="00EE3982">
        <w:rPr>
          <w:rFonts w:eastAsia="Times New Roman" w:cs="Arial"/>
          <w:color w:val="131313"/>
          <w:sz w:val="22"/>
          <w:szCs w:val="22"/>
          <w:shd w:val="clear" w:color="auto" w:fill="FFFFFF"/>
        </w:rPr>
        <w:t>Mbembe</w:t>
      </w:r>
      <w:proofErr w:type="spellEnd"/>
      <w:r w:rsidR="00EE3982">
        <w:rPr>
          <w:rFonts w:eastAsia="Times New Roman" w:cs="Arial"/>
          <w:color w:val="131313"/>
          <w:sz w:val="22"/>
          <w:szCs w:val="22"/>
          <w:shd w:val="clear" w:color="auto" w:fill="FFFFFF"/>
        </w:rPr>
        <w:t xml:space="preserve">, </w:t>
      </w:r>
      <w:r w:rsidR="00EE3982">
        <w:rPr>
          <w:rFonts w:eastAsia="Times New Roman" w:cs="Arial"/>
          <w:i/>
          <w:color w:val="131313"/>
          <w:sz w:val="22"/>
          <w:szCs w:val="22"/>
          <w:shd w:val="clear" w:color="auto" w:fill="FFFFFF"/>
        </w:rPr>
        <w:t>Politique de l’inimitié.</w:t>
      </w:r>
      <w:r w:rsidR="00EE3982">
        <w:rPr>
          <w:rFonts w:eastAsia="Times New Roman" w:cs="Arial"/>
          <w:color w:val="131313"/>
          <w:sz w:val="22"/>
          <w:szCs w:val="22"/>
          <w:shd w:val="clear" w:color="auto" w:fill="FFFFFF"/>
        </w:rPr>
        <w:t xml:space="preserve"> 2016.</w:t>
      </w:r>
    </w:p>
    <w:p w14:paraId="0AD30C83" w14:textId="760BBE40" w:rsidR="0067413A" w:rsidRPr="00CD706B" w:rsidRDefault="0067413A" w:rsidP="004E6153">
      <w:pPr>
        <w:widowControl w:val="0"/>
        <w:autoSpaceDE w:val="0"/>
        <w:autoSpaceDN w:val="0"/>
        <w:adjustRightInd w:val="0"/>
        <w:jc w:val="both"/>
        <w:rPr>
          <w:rFonts w:cs="Arial"/>
          <w:bCs/>
          <w:iCs/>
          <w:color w:val="202222"/>
          <w:sz w:val="22"/>
          <w:szCs w:val="22"/>
        </w:rPr>
      </w:pPr>
    </w:p>
    <w:p w14:paraId="2D0537B4" w14:textId="77777777" w:rsidR="00045D3A" w:rsidRDefault="00045D3A"/>
    <w:sectPr w:rsidR="00045D3A" w:rsidSect="00DF4D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4F895" w14:textId="77777777" w:rsidR="00582D25" w:rsidRDefault="00582D25" w:rsidP="00582D25">
      <w:r>
        <w:separator/>
      </w:r>
    </w:p>
  </w:endnote>
  <w:endnote w:type="continuationSeparator" w:id="0">
    <w:p w14:paraId="76692E83" w14:textId="77777777" w:rsidR="00582D25" w:rsidRDefault="00582D25" w:rsidP="005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A954D" w14:textId="77777777" w:rsidR="00582D25" w:rsidRDefault="00582D25" w:rsidP="00582D25">
      <w:r>
        <w:separator/>
      </w:r>
    </w:p>
  </w:footnote>
  <w:footnote w:type="continuationSeparator" w:id="0">
    <w:p w14:paraId="4491628F" w14:textId="77777777" w:rsidR="00582D25" w:rsidRDefault="00582D25" w:rsidP="0058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24"/>
    <w:rsid w:val="00045D3A"/>
    <w:rsid w:val="0005606B"/>
    <w:rsid w:val="000B4951"/>
    <w:rsid w:val="000E071B"/>
    <w:rsid w:val="00142ECD"/>
    <w:rsid w:val="00163F2D"/>
    <w:rsid w:val="001844E1"/>
    <w:rsid w:val="00266577"/>
    <w:rsid w:val="00272283"/>
    <w:rsid w:val="00295F97"/>
    <w:rsid w:val="002A3D21"/>
    <w:rsid w:val="00371AC9"/>
    <w:rsid w:val="003A028E"/>
    <w:rsid w:val="00437C3C"/>
    <w:rsid w:val="004979EE"/>
    <w:rsid w:val="004E6153"/>
    <w:rsid w:val="004E6AA5"/>
    <w:rsid w:val="00577FAA"/>
    <w:rsid w:val="00582D25"/>
    <w:rsid w:val="005E1C04"/>
    <w:rsid w:val="006115A6"/>
    <w:rsid w:val="0067413A"/>
    <w:rsid w:val="00701B26"/>
    <w:rsid w:val="0075506E"/>
    <w:rsid w:val="00790C84"/>
    <w:rsid w:val="00832085"/>
    <w:rsid w:val="00895B0E"/>
    <w:rsid w:val="0090720B"/>
    <w:rsid w:val="009B4366"/>
    <w:rsid w:val="009C3B91"/>
    <w:rsid w:val="00A22F10"/>
    <w:rsid w:val="00A9254E"/>
    <w:rsid w:val="00B12C24"/>
    <w:rsid w:val="00BF2669"/>
    <w:rsid w:val="00C93108"/>
    <w:rsid w:val="00C94B28"/>
    <w:rsid w:val="00CD706B"/>
    <w:rsid w:val="00CE1BA1"/>
    <w:rsid w:val="00D447F3"/>
    <w:rsid w:val="00D95F57"/>
    <w:rsid w:val="00DB0140"/>
    <w:rsid w:val="00DF4D77"/>
    <w:rsid w:val="00EB466F"/>
    <w:rsid w:val="00ED4B82"/>
    <w:rsid w:val="00EE3982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2B0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2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D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2D2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82D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2D25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2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D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2D2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82D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2D2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1243</Words>
  <Characters>6842</Characters>
  <Application>Microsoft Macintosh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GOUET</dc:creator>
  <cp:keywords/>
  <dc:description/>
  <cp:lastModifiedBy>philippe GOUET</cp:lastModifiedBy>
  <cp:revision>2</cp:revision>
  <dcterms:created xsi:type="dcterms:W3CDTF">2021-12-03T17:59:00Z</dcterms:created>
  <dcterms:modified xsi:type="dcterms:W3CDTF">2021-12-03T17:59:00Z</dcterms:modified>
</cp:coreProperties>
</file>